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000001" w14:textId="518F6837" w:rsidR="005F32A4" w:rsidRPr="001E699E" w:rsidRDefault="007D75E3">
      <w:pPr>
        <w:spacing w:before="240" w:line="240" w:lineRule="auto"/>
        <w:rPr>
          <w:b/>
          <w:sz w:val="24"/>
          <w:szCs w:val="24"/>
        </w:rPr>
      </w:pPr>
      <w:r w:rsidRPr="001E699E">
        <w:rPr>
          <w:b/>
          <w:sz w:val="24"/>
          <w:szCs w:val="24"/>
        </w:rPr>
        <w:t>202</w:t>
      </w:r>
      <w:r w:rsidR="001F269D" w:rsidRPr="001E699E">
        <w:rPr>
          <w:b/>
          <w:sz w:val="24"/>
          <w:szCs w:val="24"/>
        </w:rPr>
        <w:t>6</w:t>
      </w:r>
      <w:r w:rsidRPr="001E699E">
        <w:rPr>
          <w:b/>
          <w:sz w:val="24"/>
          <w:szCs w:val="24"/>
        </w:rPr>
        <w:t xml:space="preserve"> National Homeownership Month </w:t>
      </w:r>
      <w:r w:rsidR="001F269D" w:rsidRPr="001E699E">
        <w:rPr>
          <w:b/>
          <w:sz w:val="24"/>
          <w:szCs w:val="24"/>
        </w:rPr>
        <w:t>Toolkit</w:t>
      </w:r>
    </w:p>
    <w:p w14:paraId="78941E63" w14:textId="4199CEC6" w:rsidR="001F269D" w:rsidRPr="001E699E" w:rsidRDefault="001A32F0">
      <w:pPr>
        <w:spacing w:before="24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Talking Points</w:t>
      </w:r>
    </w:p>
    <w:p w14:paraId="3F2240F4" w14:textId="794BE82C" w:rsidR="009B42DB" w:rsidRDefault="007D75E3" w:rsidP="00640781">
      <w:pPr>
        <w:spacing w:before="240" w:after="240"/>
      </w:pPr>
      <w:r w:rsidRPr="001E699E">
        <w:t xml:space="preserve">Throughout National Homeownership Month in June, </w:t>
      </w:r>
      <w:r w:rsidR="001F269D" w:rsidRPr="001E699E">
        <w:t>NAHB</w:t>
      </w:r>
      <w:r w:rsidRPr="001E699E">
        <w:t xml:space="preserve"> encourage</w:t>
      </w:r>
      <w:r w:rsidR="001F269D" w:rsidRPr="001E699E">
        <w:t xml:space="preserve">s local and </w:t>
      </w:r>
      <w:proofErr w:type="gramStart"/>
      <w:r w:rsidR="001F269D" w:rsidRPr="001E699E">
        <w:t>state home</w:t>
      </w:r>
      <w:proofErr w:type="gramEnd"/>
      <w:r w:rsidR="001F269D" w:rsidRPr="001E699E">
        <w:t xml:space="preserve"> </w:t>
      </w:r>
      <w:proofErr w:type="gramStart"/>
      <w:r w:rsidR="001F269D" w:rsidRPr="001E699E">
        <w:t>builders</w:t>
      </w:r>
      <w:proofErr w:type="gramEnd"/>
      <w:r w:rsidR="001F269D" w:rsidRPr="001E699E">
        <w:t xml:space="preserve"> associations </w:t>
      </w:r>
      <w:r w:rsidRPr="001E699E">
        <w:t xml:space="preserve">to </w:t>
      </w:r>
      <w:r w:rsidR="008E0907">
        <w:t>utilize</w:t>
      </w:r>
      <w:r w:rsidRPr="001E699E">
        <w:t xml:space="preserve"> these </w:t>
      </w:r>
      <w:r w:rsidR="009B42DB">
        <w:t xml:space="preserve">talking points in conversations </w:t>
      </w:r>
      <w:r w:rsidR="008E0907">
        <w:t>with media</w:t>
      </w:r>
      <w:r w:rsidR="0055174C">
        <w:t xml:space="preserve"> </w:t>
      </w:r>
      <w:r w:rsidR="008E0907">
        <w:t xml:space="preserve">to </w:t>
      </w:r>
      <w:r w:rsidR="001E1328">
        <w:t>highlight</w:t>
      </w:r>
      <w:r w:rsidR="008E0907">
        <w:t xml:space="preserve"> the benefits of homeownership</w:t>
      </w:r>
      <w:r w:rsidR="001E586C">
        <w:t>.</w:t>
      </w:r>
    </w:p>
    <w:p w14:paraId="6D7A2373" w14:textId="2F221BB7" w:rsidR="00E8378D" w:rsidRPr="004A45B8" w:rsidRDefault="00E8378D" w:rsidP="00640781">
      <w:pPr>
        <w:spacing w:before="240" w:after="240"/>
        <w:rPr>
          <w:b/>
          <w:bCs/>
        </w:rPr>
      </w:pPr>
      <w:r w:rsidRPr="004A45B8">
        <w:rPr>
          <w:b/>
          <w:bCs/>
        </w:rPr>
        <w:t xml:space="preserve">Benefits of </w:t>
      </w:r>
      <w:r w:rsidR="006847D4">
        <w:rPr>
          <w:b/>
          <w:bCs/>
        </w:rPr>
        <w:t>Homeownership</w:t>
      </w:r>
    </w:p>
    <w:p w14:paraId="50529A89" w14:textId="1EBD090B" w:rsidR="00A00662" w:rsidRDefault="00A00662" w:rsidP="00640781">
      <w:pPr>
        <w:numPr>
          <w:ilvl w:val="0"/>
          <w:numId w:val="1"/>
        </w:numPr>
        <w:spacing w:after="240"/>
      </w:pPr>
      <w:r>
        <w:t xml:space="preserve">Homeownership offers households one of the most reliable paths to </w:t>
      </w:r>
      <w:r w:rsidR="00B92E19">
        <w:t>accumulate assets and build wealth over time.</w:t>
      </w:r>
      <w:r w:rsidR="00E35CB3">
        <w:t xml:space="preserve"> </w:t>
      </w:r>
      <w:r w:rsidR="00F34282">
        <w:t>Owning a home often</w:t>
      </w:r>
      <w:r w:rsidR="00E35CB3">
        <w:t xml:space="preserve"> </w:t>
      </w:r>
      <w:r w:rsidR="00776FFB">
        <w:t>builds</w:t>
      </w:r>
      <w:r w:rsidR="00E35CB3">
        <w:t xml:space="preserve"> equity that </w:t>
      </w:r>
      <w:r w:rsidR="00776FFB">
        <w:t xml:space="preserve">individuals and </w:t>
      </w:r>
      <w:r w:rsidR="00E35CB3">
        <w:t xml:space="preserve">families can tap into for retirement, healthcare needs or unexpected hardships. </w:t>
      </w:r>
    </w:p>
    <w:p w14:paraId="575312A5" w14:textId="7F2744F5" w:rsidR="00FF5082" w:rsidRDefault="00160A77" w:rsidP="00640781">
      <w:pPr>
        <w:numPr>
          <w:ilvl w:val="0"/>
          <w:numId w:val="1"/>
        </w:numPr>
        <w:spacing w:after="240"/>
      </w:pPr>
      <w:r w:rsidRPr="00160A77">
        <w:t xml:space="preserve">Homeownership is more than a financial milestone. </w:t>
      </w:r>
      <w:r>
        <w:t>It</w:t>
      </w:r>
      <w:r w:rsidR="00E545A8" w:rsidRPr="00E545A8">
        <w:t xml:space="preserve"> </w:t>
      </w:r>
      <w:r w:rsidR="006841DA">
        <w:t>is a source of pride, accomplishment, social stability and peace of mind for many people.</w:t>
      </w:r>
    </w:p>
    <w:p w14:paraId="6034890F" w14:textId="245D54A0" w:rsidR="004A45B8" w:rsidRPr="006909FD" w:rsidRDefault="00D44E77" w:rsidP="006909FD">
      <w:pPr>
        <w:numPr>
          <w:ilvl w:val="0"/>
          <w:numId w:val="1"/>
        </w:numPr>
        <w:spacing w:after="240"/>
        <w:rPr>
          <w:lang w:val="en-US"/>
        </w:rPr>
      </w:pPr>
      <w:proofErr w:type="gramStart"/>
      <w:r w:rsidRPr="00D44E77">
        <w:rPr>
          <w:lang w:val="en-US"/>
        </w:rPr>
        <w:t>Home owners</w:t>
      </w:r>
      <w:proofErr w:type="gramEnd"/>
      <w:r w:rsidRPr="00D44E77">
        <w:rPr>
          <w:lang w:val="en-US"/>
        </w:rPr>
        <w:t xml:space="preserve"> are more likely than renters to stay rooted in an area and give back. Through volunteering, school and community activities, and property maintenance, </w:t>
      </w:r>
      <w:proofErr w:type="gramStart"/>
      <w:r w:rsidRPr="00D44E77">
        <w:rPr>
          <w:lang w:val="en-US"/>
        </w:rPr>
        <w:t>home owners</w:t>
      </w:r>
      <w:proofErr w:type="gramEnd"/>
      <w:r w:rsidRPr="00D44E77">
        <w:rPr>
          <w:lang w:val="en-US"/>
        </w:rPr>
        <w:t xml:space="preserve"> contribute to creating strong and healthy </w:t>
      </w:r>
      <w:r w:rsidR="006909FD">
        <w:rPr>
          <w:lang w:val="en-US"/>
        </w:rPr>
        <w:t>communities</w:t>
      </w:r>
      <w:r w:rsidRPr="00D44E77">
        <w:rPr>
          <w:lang w:val="en-US"/>
        </w:rPr>
        <w:t>.</w:t>
      </w:r>
    </w:p>
    <w:p w14:paraId="32489E52" w14:textId="614418C8" w:rsidR="004A45B8" w:rsidRPr="002926BE" w:rsidRDefault="002926BE" w:rsidP="004A45B8">
      <w:pPr>
        <w:spacing w:after="240" w:line="240" w:lineRule="auto"/>
        <w:rPr>
          <w:b/>
          <w:bCs/>
        </w:rPr>
      </w:pPr>
      <w:r w:rsidRPr="002926BE">
        <w:rPr>
          <w:b/>
          <w:bCs/>
        </w:rPr>
        <w:t>Facts about Homeownership</w:t>
      </w:r>
    </w:p>
    <w:p w14:paraId="4E92DE98" w14:textId="383FC7AE" w:rsidR="00E545A8" w:rsidRPr="00E545A8" w:rsidRDefault="009B42DB" w:rsidP="00AF5B41">
      <w:pPr>
        <w:numPr>
          <w:ilvl w:val="0"/>
          <w:numId w:val="1"/>
        </w:numPr>
        <w:spacing w:after="240" w:line="240" w:lineRule="auto"/>
      </w:pPr>
      <w:r>
        <w:rPr>
          <w:color w:val="000000" w:themeColor="text1"/>
        </w:rPr>
        <w:t>T</w:t>
      </w:r>
      <w:r w:rsidRPr="00E545A8">
        <w:rPr>
          <w:color w:val="000000" w:themeColor="text1"/>
        </w:rPr>
        <w:t>he</w:t>
      </w:r>
      <w:r w:rsidR="00E545A8" w:rsidRPr="00E545A8">
        <w:rPr>
          <w:color w:val="000000" w:themeColor="text1"/>
        </w:rPr>
        <w:t xml:space="preserve"> U.S. homeownership rate was </w:t>
      </w:r>
      <w:hyperlink r:id="rId7" w:tgtFrame="_blank" w:history="1">
        <w:r w:rsidR="00E545A8" w:rsidRPr="00E545A8">
          <w:rPr>
            <w:rStyle w:val="Hyperlink"/>
          </w:rPr>
          <w:t>65.7% in the fourth quarter of 2025</w:t>
        </w:r>
      </w:hyperlink>
      <w:r w:rsidR="00E545A8" w:rsidRPr="00E545A8">
        <w:rPr>
          <w:color w:val="000000" w:themeColor="text1"/>
        </w:rPr>
        <w:t>, according to the Census Bureau's Housing Vacancy Survey (HVS). </w:t>
      </w:r>
    </w:p>
    <w:p w14:paraId="6ACF3AD6" w14:textId="5101A40F" w:rsidR="00E545A8" w:rsidRPr="00E545A8" w:rsidRDefault="0085476C" w:rsidP="00AF5B41">
      <w:pPr>
        <w:numPr>
          <w:ilvl w:val="0"/>
          <w:numId w:val="1"/>
        </w:numPr>
        <w:spacing w:after="240" w:line="240" w:lineRule="auto"/>
      </w:pPr>
      <w:r>
        <w:rPr>
          <w:color w:val="000000" w:themeColor="text1"/>
        </w:rPr>
        <w:t xml:space="preserve">Younger buyers are showing signs of momentum. </w:t>
      </w:r>
      <w:r w:rsidR="009B42DB">
        <w:rPr>
          <w:color w:val="000000" w:themeColor="text1"/>
        </w:rPr>
        <w:t>T</w:t>
      </w:r>
      <w:r w:rsidR="009B42DB" w:rsidRPr="00E545A8">
        <w:rPr>
          <w:color w:val="000000" w:themeColor="text1"/>
        </w:rPr>
        <w:t>he</w:t>
      </w:r>
      <w:r w:rsidR="00E545A8" w:rsidRPr="00E545A8">
        <w:rPr>
          <w:color w:val="000000" w:themeColor="text1"/>
        </w:rPr>
        <w:t xml:space="preserve"> homeownership rate for </w:t>
      </w:r>
      <w:hyperlink r:id="rId8" w:tgtFrame="_blank" w:history="1">
        <w:r w:rsidR="00E545A8" w:rsidRPr="00E545A8">
          <w:rPr>
            <w:rStyle w:val="Hyperlink"/>
          </w:rPr>
          <w:t>those under the age of 35 rose to 37.9% in the last quarter of 2025</w:t>
        </w:r>
      </w:hyperlink>
      <w:r w:rsidR="00E545A8" w:rsidRPr="00E545A8">
        <w:rPr>
          <w:color w:val="000000" w:themeColor="text1"/>
        </w:rPr>
        <w:t>, a 1.6% increase over 2024, according to the Census Bureau's Housing Vacancy Survey (HVS). </w:t>
      </w:r>
    </w:p>
    <w:p w14:paraId="1FF49A02" w14:textId="60C990A8" w:rsidR="00E545A8" w:rsidRPr="00E545A8" w:rsidRDefault="006A5C82" w:rsidP="00AF5B41">
      <w:pPr>
        <w:numPr>
          <w:ilvl w:val="0"/>
          <w:numId w:val="1"/>
        </w:numPr>
        <w:spacing w:after="240" w:line="240" w:lineRule="auto"/>
      </w:pPr>
      <w:r>
        <w:rPr>
          <w:color w:val="000000" w:themeColor="text1"/>
        </w:rPr>
        <w:t xml:space="preserve">In </w:t>
      </w:r>
      <w:r w:rsidR="009B42DB" w:rsidRPr="009B42DB">
        <w:rPr>
          <w:color w:val="000000" w:themeColor="text1"/>
        </w:rPr>
        <w:t>2026, </w:t>
      </w:r>
      <w:hyperlink r:id="rId9" w:tgtFrame="_blank" w:history="1">
        <w:r w:rsidR="009B42DB" w:rsidRPr="009B42DB">
          <w:rPr>
            <w:rStyle w:val="Hyperlink"/>
          </w:rPr>
          <w:t>65% of U.S. households cannot afford</w:t>
        </w:r>
      </w:hyperlink>
      <w:r w:rsidR="009B42DB" w:rsidRPr="009B42DB">
        <w:rPr>
          <w:color w:val="000000" w:themeColor="text1"/>
        </w:rPr>
        <w:t> a median-priced new home. At a median price of $413,595 and a 30-year mortgage rate of 6%, approximately 88.2 million households are priced out of the market. </w:t>
      </w:r>
    </w:p>
    <w:p w14:paraId="097D565F" w14:textId="525A9984" w:rsidR="00E545A8" w:rsidRPr="00E545A8" w:rsidRDefault="009B42DB" w:rsidP="00AF5B41">
      <w:pPr>
        <w:numPr>
          <w:ilvl w:val="0"/>
          <w:numId w:val="1"/>
        </w:numPr>
        <w:spacing w:after="240" w:line="240" w:lineRule="auto"/>
      </w:pPr>
      <w:r w:rsidRPr="009B42DB">
        <w:rPr>
          <w:color w:val="000000" w:themeColor="text1"/>
        </w:rPr>
        <w:t>Nationwide, </w:t>
      </w:r>
      <w:hyperlink r:id="rId10" w:tgtFrame="_blank" w:history="1">
        <w:r w:rsidR="009962B4">
          <w:rPr>
            <w:rStyle w:val="Hyperlink"/>
          </w:rPr>
          <w:t>52% of households (70 million) cannot afford a $300,000 home</w:t>
        </w:r>
      </w:hyperlink>
      <w:r w:rsidRPr="009B42DB">
        <w:rPr>
          <w:color w:val="000000" w:themeColor="text1"/>
        </w:rPr>
        <w:t>, while the median-priced new home costs more than $400,000, according to NAHB’s 2026 Priced-Out Analysis.   </w:t>
      </w:r>
    </w:p>
    <w:p w14:paraId="286239E5" w14:textId="79BEE57F" w:rsidR="00E545A8" w:rsidRPr="00E545A8" w:rsidRDefault="005E2416" w:rsidP="00AF5B41">
      <w:pPr>
        <w:numPr>
          <w:ilvl w:val="0"/>
          <w:numId w:val="1"/>
        </w:numPr>
        <w:spacing w:after="240" w:line="240" w:lineRule="auto"/>
      </w:pPr>
      <w:r>
        <w:rPr>
          <w:color w:val="000000" w:themeColor="text1"/>
        </w:rPr>
        <w:t>E</w:t>
      </w:r>
      <w:r w:rsidRPr="005E2416">
        <w:rPr>
          <w:color w:val="000000" w:themeColor="text1"/>
        </w:rPr>
        <w:t xml:space="preserve">ven a small increase in home prices can have a </w:t>
      </w:r>
      <w:r w:rsidR="006A5C82">
        <w:rPr>
          <w:color w:val="000000" w:themeColor="text1"/>
        </w:rPr>
        <w:t>large</w:t>
      </w:r>
      <w:r w:rsidRPr="005E2416">
        <w:rPr>
          <w:color w:val="000000" w:themeColor="text1"/>
        </w:rPr>
        <w:t xml:space="preserve"> impact on housing affordability.</w:t>
      </w:r>
      <w:r>
        <w:rPr>
          <w:color w:val="000000" w:themeColor="text1"/>
        </w:rPr>
        <w:t xml:space="preserve"> </w:t>
      </w:r>
      <w:r w:rsidR="009B42DB" w:rsidRPr="009B42DB">
        <w:rPr>
          <w:color w:val="000000" w:themeColor="text1"/>
        </w:rPr>
        <w:t>A </w:t>
      </w:r>
      <w:hyperlink r:id="rId11" w:tgtFrame="_blank" w:history="1">
        <w:r w:rsidR="00181892">
          <w:rPr>
            <w:rStyle w:val="Hyperlink"/>
          </w:rPr>
          <w:t>$1,000 increase in the median new home cost</w:t>
        </w:r>
      </w:hyperlink>
      <w:r w:rsidR="00181892">
        <w:t xml:space="preserve"> </w:t>
      </w:r>
      <w:r w:rsidR="00181892" w:rsidRPr="00181892">
        <w:t>prices</w:t>
      </w:r>
      <w:r w:rsidR="009B42DB" w:rsidRPr="009B42DB">
        <w:rPr>
          <w:color w:val="000000" w:themeColor="text1"/>
        </w:rPr>
        <w:t> more than 150,000 households out of the market, according to NAHB’s 2026 Priced-Out Analysis.   </w:t>
      </w:r>
    </w:p>
    <w:p w14:paraId="7BBD454E" w14:textId="0582B5FE" w:rsidR="005E47B4" w:rsidRPr="00AE294D" w:rsidRDefault="009B42DB" w:rsidP="00C74A97">
      <w:pPr>
        <w:numPr>
          <w:ilvl w:val="0"/>
          <w:numId w:val="1"/>
        </w:numPr>
        <w:spacing w:after="240" w:line="240" w:lineRule="auto"/>
      </w:pPr>
      <w:r w:rsidRPr="009B42DB">
        <w:rPr>
          <w:color w:val="000000" w:themeColor="text1"/>
        </w:rPr>
        <w:t>The </w:t>
      </w:r>
      <w:hyperlink r:id="rId12" w:tgtFrame="_blank" w:history="1">
        <w:r w:rsidRPr="009B42DB">
          <w:rPr>
            <w:rStyle w:val="Hyperlink"/>
          </w:rPr>
          <w:t>first-time buyer share rose to 34% in February 2026</w:t>
        </w:r>
      </w:hyperlink>
      <w:r w:rsidRPr="009B42DB">
        <w:rPr>
          <w:color w:val="000000" w:themeColor="text1"/>
        </w:rPr>
        <w:t>, up from 31% in January, according to NAHB analysis of data from the National Association of Realtors.</w:t>
      </w:r>
    </w:p>
    <w:p w14:paraId="782FBA63" w14:textId="083FDF27" w:rsidR="00AE294D" w:rsidRDefault="0067665A" w:rsidP="0067665A">
      <w:pPr>
        <w:numPr>
          <w:ilvl w:val="0"/>
          <w:numId w:val="1"/>
        </w:numPr>
        <w:spacing w:after="240" w:line="240" w:lineRule="auto"/>
      </w:pPr>
      <w:r>
        <w:t>A</w:t>
      </w:r>
      <w:r w:rsidR="00AE294D" w:rsidRPr="00AE294D">
        <w:t>ging-in-place features like zero-step entries and walk-in showers make homeownership an opportunity for everyone at every stage of life. About 43,000 homes were built in age-restricted communities in 2024</w:t>
      </w:r>
      <w:r w:rsidR="00AE294D">
        <w:t xml:space="preserve">, </w:t>
      </w:r>
      <w:hyperlink r:id="rId13" w:history="1">
        <w:r w:rsidR="00AE294D" w:rsidRPr="00AE294D">
          <w:rPr>
            <w:rStyle w:val="Hyperlink"/>
          </w:rPr>
          <w:t>according to NAHB analysis</w:t>
        </w:r>
      </w:hyperlink>
      <w:r w:rsidR="00AE294D">
        <w:t xml:space="preserve">. </w:t>
      </w:r>
    </w:p>
    <w:sectPr w:rsidR="00AE294D">
      <w:footerReference w:type="default" r:id="rId14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42B5C8" w14:textId="77777777" w:rsidR="00595117" w:rsidRDefault="00595117">
      <w:pPr>
        <w:spacing w:line="240" w:lineRule="auto"/>
      </w:pPr>
      <w:r>
        <w:separator/>
      </w:r>
    </w:p>
  </w:endnote>
  <w:endnote w:type="continuationSeparator" w:id="0">
    <w:p w14:paraId="0381CDCD" w14:textId="77777777" w:rsidR="00595117" w:rsidRDefault="0059511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000027" w14:textId="77777777" w:rsidR="005F32A4" w:rsidRDefault="005F32A4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2686AB" w14:textId="77777777" w:rsidR="00595117" w:rsidRDefault="00595117">
      <w:pPr>
        <w:spacing w:line="240" w:lineRule="auto"/>
      </w:pPr>
      <w:r>
        <w:separator/>
      </w:r>
    </w:p>
  </w:footnote>
  <w:footnote w:type="continuationSeparator" w:id="0">
    <w:p w14:paraId="2EC81724" w14:textId="77777777" w:rsidR="00595117" w:rsidRDefault="00595117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9B0EE9"/>
    <w:multiLevelType w:val="multilevel"/>
    <w:tmpl w:val="1EB8EEA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4F7B7149"/>
    <w:multiLevelType w:val="hybridMultilevel"/>
    <w:tmpl w:val="F3E058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68E79CA"/>
    <w:multiLevelType w:val="multilevel"/>
    <w:tmpl w:val="2D72FB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149830921">
    <w:abstractNumId w:val="0"/>
  </w:num>
  <w:num w:numId="2" w16cid:durableId="641692853">
    <w:abstractNumId w:val="1"/>
  </w:num>
  <w:num w:numId="3" w16cid:durableId="123057718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32A4"/>
    <w:rsid w:val="0001575E"/>
    <w:rsid w:val="00017E11"/>
    <w:rsid w:val="000325F5"/>
    <w:rsid w:val="000B5233"/>
    <w:rsid w:val="000C6D6E"/>
    <w:rsid w:val="000E617D"/>
    <w:rsid w:val="000F41FA"/>
    <w:rsid w:val="00160A77"/>
    <w:rsid w:val="00181892"/>
    <w:rsid w:val="001910E3"/>
    <w:rsid w:val="00192EEB"/>
    <w:rsid w:val="001949E5"/>
    <w:rsid w:val="001A32F0"/>
    <w:rsid w:val="001C442D"/>
    <w:rsid w:val="001E1328"/>
    <w:rsid w:val="001E586C"/>
    <w:rsid w:val="001E699E"/>
    <w:rsid w:val="001F269D"/>
    <w:rsid w:val="00206799"/>
    <w:rsid w:val="002608FB"/>
    <w:rsid w:val="002926BE"/>
    <w:rsid w:val="002B0F9A"/>
    <w:rsid w:val="002D0B0C"/>
    <w:rsid w:val="003459D7"/>
    <w:rsid w:val="003E11C2"/>
    <w:rsid w:val="003E530A"/>
    <w:rsid w:val="00463B82"/>
    <w:rsid w:val="00474BBD"/>
    <w:rsid w:val="004772A2"/>
    <w:rsid w:val="004A45B8"/>
    <w:rsid w:val="004D740A"/>
    <w:rsid w:val="00536133"/>
    <w:rsid w:val="0055174C"/>
    <w:rsid w:val="00577E76"/>
    <w:rsid w:val="00584570"/>
    <w:rsid w:val="00595117"/>
    <w:rsid w:val="005A1CC6"/>
    <w:rsid w:val="005E2416"/>
    <w:rsid w:val="005E47B4"/>
    <w:rsid w:val="005F32A4"/>
    <w:rsid w:val="0061746B"/>
    <w:rsid w:val="00640781"/>
    <w:rsid w:val="00661FE3"/>
    <w:rsid w:val="00664883"/>
    <w:rsid w:val="0067665A"/>
    <w:rsid w:val="006841DA"/>
    <w:rsid w:val="006847D4"/>
    <w:rsid w:val="006907BD"/>
    <w:rsid w:val="006909FD"/>
    <w:rsid w:val="006A5C82"/>
    <w:rsid w:val="006F1809"/>
    <w:rsid w:val="006F5A6D"/>
    <w:rsid w:val="006F6576"/>
    <w:rsid w:val="00726734"/>
    <w:rsid w:val="00776FFB"/>
    <w:rsid w:val="007D75E3"/>
    <w:rsid w:val="007F6C71"/>
    <w:rsid w:val="0085476C"/>
    <w:rsid w:val="008E0907"/>
    <w:rsid w:val="009153BB"/>
    <w:rsid w:val="00917426"/>
    <w:rsid w:val="00963D48"/>
    <w:rsid w:val="00993F72"/>
    <w:rsid w:val="009962B4"/>
    <w:rsid w:val="009A3AFA"/>
    <w:rsid w:val="009A5214"/>
    <w:rsid w:val="009A6346"/>
    <w:rsid w:val="009B42DB"/>
    <w:rsid w:val="009E42F7"/>
    <w:rsid w:val="009F4083"/>
    <w:rsid w:val="00A00662"/>
    <w:rsid w:val="00A23C52"/>
    <w:rsid w:val="00A7771A"/>
    <w:rsid w:val="00AD4F60"/>
    <w:rsid w:val="00AE294D"/>
    <w:rsid w:val="00AF5B41"/>
    <w:rsid w:val="00B12DB3"/>
    <w:rsid w:val="00B92E19"/>
    <w:rsid w:val="00B9583D"/>
    <w:rsid w:val="00BA485F"/>
    <w:rsid w:val="00BB1A1A"/>
    <w:rsid w:val="00BB6D9F"/>
    <w:rsid w:val="00BF0067"/>
    <w:rsid w:val="00C1027C"/>
    <w:rsid w:val="00C24974"/>
    <w:rsid w:val="00C74A97"/>
    <w:rsid w:val="00C92B42"/>
    <w:rsid w:val="00C95914"/>
    <w:rsid w:val="00CB624E"/>
    <w:rsid w:val="00CC302E"/>
    <w:rsid w:val="00CC51F9"/>
    <w:rsid w:val="00CE1C48"/>
    <w:rsid w:val="00D449B5"/>
    <w:rsid w:val="00D44E77"/>
    <w:rsid w:val="00D80B06"/>
    <w:rsid w:val="00DC526A"/>
    <w:rsid w:val="00E06A94"/>
    <w:rsid w:val="00E35CB3"/>
    <w:rsid w:val="00E4738A"/>
    <w:rsid w:val="00E545A8"/>
    <w:rsid w:val="00E65F03"/>
    <w:rsid w:val="00E8378D"/>
    <w:rsid w:val="00ED4DA3"/>
    <w:rsid w:val="00F3352C"/>
    <w:rsid w:val="00F34282"/>
    <w:rsid w:val="00FB4767"/>
    <w:rsid w:val="00FD2A0B"/>
    <w:rsid w:val="00FF50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CC79F8"/>
  <w15:docId w15:val="{13C763B1-0E1A-4E35-B4B5-359A23FAA8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paragraph" w:styleId="ListParagraph">
    <w:name w:val="List Paragraph"/>
    <w:basedOn w:val="Normal"/>
    <w:uiPriority w:val="34"/>
    <w:qFormat/>
    <w:rsid w:val="00C92B42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2608FB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608FB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C95914"/>
    <w:pPr>
      <w:spacing w:line="240" w:lineRule="auto"/>
    </w:pPr>
  </w:style>
  <w:style w:type="character" w:styleId="FollowedHyperlink">
    <w:name w:val="FollowedHyperlink"/>
    <w:basedOn w:val="DefaultParagraphFont"/>
    <w:uiPriority w:val="99"/>
    <w:semiHidden/>
    <w:unhideWhenUsed/>
    <w:rsid w:val="001E699E"/>
    <w:rPr>
      <w:color w:val="800080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E837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E837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E837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837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8378D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yeonhousing.org/2026/02/homeownership-rate-inches-up-to-65-7/" TargetMode="External"/><Relationship Id="rId13" Type="http://schemas.openxmlformats.org/officeDocument/2006/relationships/hyperlink" Target="https://eyeonhousing.org/2025/09/characteristics-of-homes-built-in-age-restricted-communities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eyeonhousing.org/2026/02/homeownership-rate-inches-up-to-65-7/" TargetMode="External"/><Relationship Id="rId12" Type="http://schemas.openxmlformats.org/officeDocument/2006/relationships/hyperlink" Target="https://eyeonhousing.org/2026/03/existing-home-sales-rose-in-february/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eyeonhousing.org/2026/02/how-rising-costs-affect-home-affordability-3/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s://eyeonhousing.org/2026/02/affordability-pyramid-shows-over-half-of-u-s-households-cannot-buy-a-300000-home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eyeonhousing.org/2026/02/how-rising-costs-affect-home-affordability-3/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</TotalTime>
  <Pages>1</Pages>
  <Words>460</Words>
  <Characters>2626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Anna Briseno</dc:creator>
  <cp:lastModifiedBy>Cole McClanahan</cp:lastModifiedBy>
  <cp:revision>73</cp:revision>
  <dcterms:created xsi:type="dcterms:W3CDTF">2025-05-13T14:11:00Z</dcterms:created>
  <dcterms:modified xsi:type="dcterms:W3CDTF">2026-05-18T12:49:00Z</dcterms:modified>
</cp:coreProperties>
</file>