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157A0F" w14:textId="77777777" w:rsidR="00AF6711" w:rsidRPr="008C7D2D" w:rsidRDefault="00AF6711" w:rsidP="00AF6711">
      <w:pPr>
        <w:rPr>
          <w:rFonts w:ascii="Times New Roman" w:hAnsi="Times New Roman" w:cs="Times New Roman"/>
        </w:rPr>
      </w:pPr>
      <w:r w:rsidRPr="008C7D2D">
        <w:rPr>
          <w:rFonts w:ascii="Times New Roman" w:hAnsi="Times New Roman" w:cs="Times New Roman"/>
        </w:rPr>
        <w:t>[Your Name] </w:t>
      </w:r>
      <w:r w:rsidRPr="008C7D2D">
        <w:rPr>
          <w:rFonts w:ascii="Times New Roman" w:hAnsi="Times New Roman" w:cs="Times New Roman"/>
        </w:rPr>
        <w:br/>
        <w:t>[Your Title / Organization] </w:t>
      </w:r>
      <w:r w:rsidRPr="008C7D2D">
        <w:rPr>
          <w:rFonts w:ascii="Times New Roman" w:hAnsi="Times New Roman" w:cs="Times New Roman"/>
        </w:rPr>
        <w:br/>
        <w:t>[Address] </w:t>
      </w:r>
      <w:r w:rsidRPr="008C7D2D">
        <w:rPr>
          <w:rFonts w:ascii="Times New Roman" w:hAnsi="Times New Roman" w:cs="Times New Roman"/>
        </w:rPr>
        <w:br/>
        <w:t>[Email / Phone] </w:t>
      </w:r>
    </w:p>
    <w:p w14:paraId="20F84E25" w14:textId="77777777" w:rsidR="00AF6711" w:rsidRPr="008C7D2D" w:rsidRDefault="00AF6711" w:rsidP="00AF6711">
      <w:pPr>
        <w:rPr>
          <w:rFonts w:ascii="Times New Roman" w:hAnsi="Times New Roman" w:cs="Times New Roman"/>
        </w:rPr>
      </w:pPr>
      <w:r w:rsidRPr="008C7D2D">
        <w:rPr>
          <w:rFonts w:ascii="Times New Roman" w:hAnsi="Times New Roman" w:cs="Times New Roman"/>
        </w:rPr>
        <w:t>[Date] </w:t>
      </w:r>
    </w:p>
    <w:p w14:paraId="70DA99DC" w14:textId="77777777" w:rsidR="00AF6711" w:rsidRPr="008C7D2D" w:rsidRDefault="00AF6711" w:rsidP="00AF6711">
      <w:pPr>
        <w:rPr>
          <w:rFonts w:ascii="Times New Roman" w:hAnsi="Times New Roman" w:cs="Times New Roman"/>
        </w:rPr>
      </w:pPr>
      <w:r w:rsidRPr="008C7D2D">
        <w:rPr>
          <w:rFonts w:ascii="Times New Roman" w:hAnsi="Times New Roman" w:cs="Times New Roman"/>
        </w:rPr>
        <w:t>The Honorable [Legislator’s Name] </w:t>
      </w:r>
      <w:r w:rsidRPr="008C7D2D">
        <w:rPr>
          <w:rFonts w:ascii="Times New Roman" w:hAnsi="Times New Roman" w:cs="Times New Roman"/>
        </w:rPr>
        <w:br/>
        <w:t>[Chamber / Committee] </w:t>
      </w:r>
      <w:r w:rsidRPr="008C7D2D">
        <w:rPr>
          <w:rFonts w:ascii="Times New Roman" w:hAnsi="Times New Roman" w:cs="Times New Roman"/>
        </w:rPr>
        <w:br/>
        <w:t>[Address] </w:t>
      </w:r>
    </w:p>
    <w:p w14:paraId="0D4D8483" w14:textId="77777777" w:rsidR="00AF6711" w:rsidRPr="008C7D2D" w:rsidRDefault="00AF6711" w:rsidP="00AF6711">
      <w:pPr>
        <w:rPr>
          <w:rFonts w:ascii="Times New Roman" w:hAnsi="Times New Roman" w:cs="Times New Roman"/>
        </w:rPr>
      </w:pPr>
      <w:r w:rsidRPr="008C7D2D">
        <w:rPr>
          <w:rFonts w:ascii="Times New Roman" w:hAnsi="Times New Roman" w:cs="Times New Roman"/>
          <w:b/>
          <w:bCs/>
        </w:rPr>
        <w:t>RE: Institutional Housing Ban Legislation [insert bill number] — OPPOSE</w:t>
      </w:r>
      <w:r w:rsidRPr="008C7D2D">
        <w:rPr>
          <w:rFonts w:ascii="Times New Roman" w:hAnsi="Times New Roman" w:cs="Times New Roman"/>
        </w:rPr>
        <w:t> </w:t>
      </w:r>
      <w:r w:rsidRPr="008C7D2D">
        <w:rPr>
          <w:rFonts w:ascii="Times New Roman" w:hAnsi="Times New Roman" w:cs="Times New Roman"/>
        </w:rPr>
        <w:br/>
        <w:t> </w:t>
      </w:r>
    </w:p>
    <w:p w14:paraId="71E1452B" w14:textId="77777777" w:rsidR="00AF6711" w:rsidRPr="008C7D2D" w:rsidRDefault="00AF6711" w:rsidP="00AF6711">
      <w:pPr>
        <w:rPr>
          <w:rFonts w:ascii="Times New Roman" w:hAnsi="Times New Roman" w:cs="Times New Roman"/>
        </w:rPr>
      </w:pPr>
      <w:r w:rsidRPr="008C7D2D">
        <w:rPr>
          <w:rFonts w:ascii="Times New Roman" w:hAnsi="Times New Roman" w:cs="Times New Roman"/>
        </w:rPr>
        <w:t>Dear [Senator/Delegate/Representative] [Last Name]: </w:t>
      </w:r>
    </w:p>
    <w:p w14:paraId="6A276992" w14:textId="77777777" w:rsidR="00AF6711" w:rsidRPr="008C7D2D" w:rsidRDefault="00AF6711" w:rsidP="00AF6711">
      <w:pPr>
        <w:rPr>
          <w:rFonts w:ascii="Times New Roman" w:hAnsi="Times New Roman" w:cs="Times New Roman"/>
        </w:rPr>
      </w:pPr>
      <w:r w:rsidRPr="008C7D2D">
        <w:rPr>
          <w:rFonts w:ascii="Times New Roman" w:hAnsi="Times New Roman" w:cs="Times New Roman"/>
        </w:rPr>
        <w:t xml:space="preserve">The National Association of Home Builders (NAHB) and </w:t>
      </w:r>
      <w:r w:rsidRPr="008C7D2D">
        <w:rPr>
          <w:rFonts w:ascii="Times New Roman" w:hAnsi="Times New Roman" w:cs="Times New Roman"/>
          <w:b/>
          <w:bCs/>
        </w:rPr>
        <w:t>[insert HBA name]</w:t>
      </w:r>
      <w:r w:rsidRPr="008C7D2D">
        <w:rPr>
          <w:rFonts w:ascii="Times New Roman" w:hAnsi="Times New Roman" w:cs="Times New Roman"/>
        </w:rPr>
        <w:t xml:space="preserve"> are writing to regretfully oppose </w:t>
      </w:r>
      <w:r w:rsidRPr="008C7D2D">
        <w:rPr>
          <w:rFonts w:ascii="Times New Roman" w:hAnsi="Times New Roman" w:cs="Times New Roman"/>
          <w:b/>
          <w:bCs/>
        </w:rPr>
        <w:t>[insert bill number]</w:t>
      </w:r>
      <w:r w:rsidRPr="008C7D2D">
        <w:rPr>
          <w:rFonts w:ascii="Times New Roman" w:hAnsi="Times New Roman" w:cs="Times New Roman"/>
        </w:rPr>
        <w:t xml:space="preserve">, which would limit housing availability in the state of </w:t>
      </w:r>
      <w:r w:rsidRPr="008C7D2D">
        <w:rPr>
          <w:rFonts w:ascii="Times New Roman" w:hAnsi="Times New Roman" w:cs="Times New Roman"/>
          <w:b/>
          <w:bCs/>
        </w:rPr>
        <w:t>[insert state name]</w:t>
      </w:r>
      <w:r w:rsidRPr="008C7D2D">
        <w:rPr>
          <w:rFonts w:ascii="Times New Roman" w:hAnsi="Times New Roman" w:cs="Times New Roman"/>
        </w:rPr>
        <w:t xml:space="preserve"> and intensify affordability challenges. Although well-intentioned to help more hard-working families achieve the American Dream, legislation that limits the homeownership rights of institutional investors does not solve the root problem of the affordability crisis: a lack of housing supply. </w:t>
      </w:r>
    </w:p>
    <w:p w14:paraId="0509F610" w14:textId="77777777" w:rsidR="00AF6711" w:rsidRPr="008C7D2D" w:rsidRDefault="00AF6711" w:rsidP="00AF6711">
      <w:pPr>
        <w:rPr>
          <w:rFonts w:ascii="Times New Roman" w:hAnsi="Times New Roman" w:cs="Times New Roman"/>
        </w:rPr>
      </w:pPr>
      <w:r w:rsidRPr="008C7D2D">
        <w:rPr>
          <w:rFonts w:ascii="Times New Roman" w:hAnsi="Times New Roman" w:cs="Times New Roman"/>
        </w:rPr>
        <w:t>Under this legislation, as drafted, the state risks reduced rental inventory, which directly contributes to higher housing costs for renters and buyers. Institutional investors provide housing opportunities for many individuals, including low- and middle-income earners who are unable to afford a single-family home. Restricting homeownership rights of institutional investors is not a silver bullet toward homeownership for community members nor does it solve the nation’s shortage of 1.2 million housing units</w:t>
      </w:r>
      <w:r>
        <w:rPr>
          <w:rFonts w:ascii="Times New Roman" w:hAnsi="Times New Roman" w:cs="Times New Roman"/>
        </w:rPr>
        <w:t>.</w:t>
      </w:r>
      <w:r>
        <w:rPr>
          <w:rStyle w:val="FootnoteReference"/>
          <w:rFonts w:ascii="Times New Roman" w:hAnsi="Times New Roman" w:cs="Times New Roman"/>
        </w:rPr>
        <w:footnoteReference w:id="1"/>
      </w:r>
      <w:r>
        <w:rPr>
          <w:rFonts w:ascii="Times New Roman" w:hAnsi="Times New Roman" w:cs="Times New Roman"/>
        </w:rPr>
        <w:t xml:space="preserve"> </w:t>
      </w:r>
    </w:p>
    <w:p w14:paraId="6A316621" w14:textId="77777777" w:rsidR="00AF6711" w:rsidRPr="008C7D2D" w:rsidRDefault="00AF6711" w:rsidP="00AF6711">
      <w:pPr>
        <w:rPr>
          <w:rFonts w:ascii="Times New Roman" w:hAnsi="Times New Roman" w:cs="Times New Roman"/>
        </w:rPr>
      </w:pPr>
      <w:r w:rsidRPr="008C7D2D">
        <w:rPr>
          <w:rFonts w:ascii="Times New Roman" w:hAnsi="Times New Roman" w:cs="Times New Roman"/>
        </w:rPr>
        <w:t xml:space="preserve">The issue of institutional investors is also not as pervasive as many believe. Only 16% of single-family homes nationwide are </w:t>
      </w:r>
      <w:proofErr w:type="gramStart"/>
      <w:r w:rsidRPr="008C7D2D">
        <w:rPr>
          <w:rFonts w:ascii="Times New Roman" w:hAnsi="Times New Roman" w:cs="Times New Roman"/>
        </w:rPr>
        <w:t>rentals</w:t>
      </w:r>
      <w:proofErr w:type="gramEnd"/>
      <w:r w:rsidRPr="008C7D2D">
        <w:rPr>
          <w:rFonts w:ascii="Times New Roman" w:hAnsi="Times New Roman" w:cs="Times New Roman"/>
        </w:rPr>
        <w:t>, and most are owned by small investors. Institutional investors own just 3% of single-family rentals nationwide, less than 0.5% of the total single-family housing stock, many of which are build-to-rent (</w:t>
      </w:r>
      <w:proofErr w:type="spellStart"/>
      <w:r w:rsidRPr="008C7D2D">
        <w:rPr>
          <w:rFonts w:ascii="Times New Roman" w:hAnsi="Times New Roman" w:cs="Times New Roman"/>
        </w:rPr>
        <w:t>BTR</w:t>
      </w:r>
      <w:proofErr w:type="spellEnd"/>
      <w:r w:rsidRPr="008C7D2D">
        <w:rPr>
          <w:rFonts w:ascii="Times New Roman" w:hAnsi="Times New Roman" w:cs="Times New Roman"/>
        </w:rPr>
        <w:t>) developments</w:t>
      </w:r>
      <w:proofErr w:type="gramStart"/>
      <w:r w:rsidRPr="008C7D2D">
        <w:rPr>
          <w:rFonts w:ascii="Times New Roman" w:hAnsi="Times New Roman" w:cs="Times New Roman"/>
        </w:rPr>
        <w:t>, single</w:t>
      </w:r>
      <w:proofErr w:type="gramEnd"/>
      <w:r w:rsidRPr="008C7D2D">
        <w:rPr>
          <w:rFonts w:ascii="Times New Roman" w:hAnsi="Times New Roman" w:cs="Times New Roman"/>
        </w:rPr>
        <w:t>-family communities that are exclusively rentals.</w:t>
      </w:r>
      <w:r>
        <w:rPr>
          <w:rStyle w:val="FootnoteReference"/>
          <w:rFonts w:ascii="Times New Roman" w:hAnsi="Times New Roman" w:cs="Times New Roman"/>
        </w:rPr>
        <w:footnoteReference w:id="2"/>
      </w:r>
    </w:p>
    <w:p w14:paraId="0427E12D" w14:textId="7DC9DE37" w:rsidR="00AF6711" w:rsidRPr="008C7D2D" w:rsidRDefault="00AF6711" w:rsidP="00AF6711">
      <w:pPr>
        <w:rPr>
          <w:rFonts w:ascii="Times New Roman" w:hAnsi="Times New Roman" w:cs="Times New Roman"/>
        </w:rPr>
      </w:pPr>
      <w:r w:rsidRPr="008C7D2D">
        <w:rPr>
          <w:rFonts w:ascii="Times New Roman" w:hAnsi="Times New Roman" w:cs="Times New Roman"/>
        </w:rPr>
        <w:t xml:space="preserve">If this legislation was to move forward, </w:t>
      </w:r>
      <w:proofErr w:type="spellStart"/>
      <w:r w:rsidRPr="008C7D2D">
        <w:rPr>
          <w:rFonts w:ascii="Times New Roman" w:hAnsi="Times New Roman" w:cs="Times New Roman"/>
        </w:rPr>
        <w:t>BTR</w:t>
      </w:r>
      <w:proofErr w:type="spellEnd"/>
      <w:r w:rsidRPr="008C7D2D">
        <w:rPr>
          <w:rFonts w:ascii="Times New Roman" w:hAnsi="Times New Roman" w:cs="Times New Roman"/>
        </w:rPr>
        <w:t xml:space="preserve"> developments will likely halt production in our area, which will be a tremendous blow to the local housing market.</w:t>
      </w:r>
      <w:r w:rsidRPr="004E3814">
        <w:t xml:space="preserve"> </w:t>
      </w:r>
      <w:r w:rsidRPr="004E3814">
        <w:rPr>
          <w:rFonts w:ascii="Times New Roman" w:hAnsi="Times New Roman" w:cs="Times New Roman"/>
        </w:rPr>
        <w:t>According to NAHB’s analysis of data from the Census Bureau</w:t>
      </w:r>
      <w:r>
        <w:rPr>
          <w:rFonts w:ascii="Times New Roman" w:hAnsi="Times New Roman" w:cs="Times New Roman"/>
        </w:rPr>
        <w:t xml:space="preserve">, there were 84,000 </w:t>
      </w:r>
      <w:proofErr w:type="spellStart"/>
      <w:r>
        <w:rPr>
          <w:rFonts w:ascii="Times New Roman" w:hAnsi="Times New Roman" w:cs="Times New Roman"/>
        </w:rPr>
        <w:t>BTR</w:t>
      </w:r>
      <w:proofErr w:type="spellEnd"/>
      <w:r>
        <w:rPr>
          <w:rFonts w:ascii="Times New Roman" w:hAnsi="Times New Roman" w:cs="Times New Roman"/>
        </w:rPr>
        <w:t xml:space="preserve"> starts in 2024 and </w:t>
      </w:r>
      <w:r w:rsidRPr="00C10A31">
        <w:rPr>
          <w:rFonts w:ascii="Times New Roman" w:hAnsi="Times New Roman" w:cs="Times New Roman"/>
        </w:rPr>
        <w:t>68,000</w:t>
      </w:r>
      <w:r>
        <w:rPr>
          <w:rFonts w:ascii="Times New Roman" w:hAnsi="Times New Roman" w:cs="Times New Roman"/>
        </w:rPr>
        <w:t xml:space="preserve"> in 2025.</w:t>
      </w:r>
      <w:r>
        <w:rPr>
          <w:rStyle w:val="FootnoteReference"/>
          <w:rFonts w:ascii="Times New Roman" w:hAnsi="Times New Roman" w:cs="Times New Roman"/>
        </w:rPr>
        <w:footnoteReference w:id="3"/>
      </w:r>
      <w:r>
        <w:rPr>
          <w:rFonts w:ascii="Times New Roman" w:hAnsi="Times New Roman" w:cs="Times New Roman"/>
        </w:rPr>
        <w:t xml:space="preserve"> </w:t>
      </w:r>
      <w:r w:rsidRPr="008C7D2D">
        <w:rPr>
          <w:rFonts w:ascii="Times New Roman" w:hAnsi="Times New Roman" w:cs="Times New Roman"/>
        </w:rPr>
        <w:t xml:space="preserve">At a time of severe housing shortages and affordability challenges, </w:t>
      </w:r>
      <w:proofErr w:type="spellStart"/>
      <w:r w:rsidRPr="008C7D2D">
        <w:rPr>
          <w:rFonts w:ascii="Times New Roman" w:hAnsi="Times New Roman" w:cs="Times New Roman"/>
        </w:rPr>
        <w:t>BTR</w:t>
      </w:r>
      <w:proofErr w:type="spellEnd"/>
      <w:r w:rsidRPr="008C7D2D">
        <w:rPr>
          <w:rFonts w:ascii="Times New Roman" w:hAnsi="Times New Roman" w:cs="Times New Roman"/>
        </w:rPr>
        <w:t xml:space="preserve"> is one of the few residential construction markets adding tens of thousands of homes that otherwise would not be </w:t>
      </w:r>
      <w:r w:rsidRPr="008C7D2D">
        <w:rPr>
          <w:rFonts w:ascii="Times New Roman" w:hAnsi="Times New Roman" w:cs="Times New Roman"/>
        </w:rPr>
        <w:lastRenderedPageBreak/>
        <w:t>built. As such, restricting the rights of institutional investors defies the goal of expanding housing opportunities and lowering costs. </w:t>
      </w:r>
    </w:p>
    <w:p w14:paraId="08F61F04" w14:textId="77777777" w:rsidR="00AF6711" w:rsidRPr="008C7D2D" w:rsidRDefault="00AF6711" w:rsidP="00AF6711">
      <w:pPr>
        <w:rPr>
          <w:rFonts w:ascii="Times New Roman" w:hAnsi="Times New Roman" w:cs="Times New Roman"/>
        </w:rPr>
      </w:pPr>
      <w:r w:rsidRPr="008C7D2D">
        <w:rPr>
          <w:rFonts w:ascii="Times New Roman" w:hAnsi="Times New Roman" w:cs="Times New Roman"/>
        </w:rPr>
        <w:t xml:space="preserve">Instead of restricting homeownership policies, NAHB and </w:t>
      </w:r>
      <w:r w:rsidRPr="008C7D2D">
        <w:rPr>
          <w:rFonts w:ascii="Times New Roman" w:hAnsi="Times New Roman" w:cs="Times New Roman"/>
          <w:b/>
          <w:bCs/>
        </w:rPr>
        <w:t>[insert HBA name]</w:t>
      </w:r>
      <w:r w:rsidRPr="008C7D2D">
        <w:rPr>
          <w:rFonts w:ascii="Times New Roman" w:hAnsi="Times New Roman" w:cs="Times New Roman"/>
        </w:rPr>
        <w:t xml:space="preserve"> encourage you to consider supporting legislation that incentivizes construction of new housing developments, reforms local zoning and land use policies to increase housing supply, supports public-private partnerships to lower development costs and addresses the regulatory burdens that increase building costs in </w:t>
      </w:r>
      <w:r w:rsidRPr="008C7D2D">
        <w:rPr>
          <w:rFonts w:ascii="Times New Roman" w:hAnsi="Times New Roman" w:cs="Times New Roman"/>
          <w:b/>
          <w:bCs/>
        </w:rPr>
        <w:t>[insert state name]</w:t>
      </w:r>
      <w:r w:rsidRPr="008C7D2D">
        <w:rPr>
          <w:rFonts w:ascii="Times New Roman" w:hAnsi="Times New Roman" w:cs="Times New Roman"/>
        </w:rPr>
        <w:t>. </w:t>
      </w:r>
    </w:p>
    <w:p w14:paraId="6510A19C" w14:textId="77777777" w:rsidR="00AF6711" w:rsidRPr="008C7D2D" w:rsidRDefault="00AF6711" w:rsidP="00AF6711">
      <w:pPr>
        <w:rPr>
          <w:rFonts w:ascii="Times New Roman" w:hAnsi="Times New Roman" w:cs="Times New Roman"/>
        </w:rPr>
      </w:pPr>
      <w:r w:rsidRPr="008C7D2D">
        <w:rPr>
          <w:rFonts w:ascii="Times New Roman" w:hAnsi="Times New Roman" w:cs="Times New Roman"/>
        </w:rPr>
        <w:t xml:space="preserve">For these reasons, NAHB and the </w:t>
      </w:r>
      <w:r w:rsidRPr="008C7D2D">
        <w:rPr>
          <w:rFonts w:ascii="Times New Roman" w:hAnsi="Times New Roman" w:cs="Times New Roman"/>
          <w:b/>
          <w:bCs/>
        </w:rPr>
        <w:t>[insert HBA name]</w:t>
      </w:r>
      <w:r w:rsidRPr="008C7D2D">
        <w:rPr>
          <w:rFonts w:ascii="Times New Roman" w:hAnsi="Times New Roman" w:cs="Times New Roman"/>
        </w:rPr>
        <w:t xml:space="preserve"> urge you to oppose </w:t>
      </w:r>
      <w:r w:rsidRPr="008C7D2D">
        <w:rPr>
          <w:rFonts w:ascii="Times New Roman" w:hAnsi="Times New Roman" w:cs="Times New Roman"/>
          <w:b/>
          <w:bCs/>
        </w:rPr>
        <w:t>[insert bill number]</w:t>
      </w:r>
      <w:r w:rsidRPr="008C7D2D">
        <w:rPr>
          <w:rFonts w:ascii="Times New Roman" w:hAnsi="Times New Roman" w:cs="Times New Roman"/>
        </w:rPr>
        <w:t>. We believe ensuring a healthy, functional housing market requires policies that produce more housing stock, not restricting the homeownership rights of companies or individuals. Policies that discourage investment risk worsen the very challenges they seek to solve. </w:t>
      </w:r>
    </w:p>
    <w:p w14:paraId="4A14D09D" w14:textId="77777777" w:rsidR="00AF6711" w:rsidRPr="008C7D2D" w:rsidRDefault="00AF6711" w:rsidP="00AF6711">
      <w:pPr>
        <w:rPr>
          <w:rFonts w:ascii="Times New Roman" w:hAnsi="Times New Roman" w:cs="Times New Roman"/>
        </w:rPr>
      </w:pPr>
      <w:r w:rsidRPr="008C7D2D">
        <w:rPr>
          <w:rFonts w:ascii="Times New Roman" w:hAnsi="Times New Roman" w:cs="Times New Roman"/>
        </w:rPr>
        <w:t> </w:t>
      </w:r>
      <w:r w:rsidRPr="008C7D2D">
        <w:rPr>
          <w:rFonts w:ascii="Times New Roman" w:hAnsi="Times New Roman" w:cs="Times New Roman"/>
        </w:rPr>
        <w:br/>
        <w:t>Sincerely, </w:t>
      </w:r>
    </w:p>
    <w:p w14:paraId="1B93E2F1" w14:textId="77777777" w:rsidR="00AF6711" w:rsidRPr="008C7D2D" w:rsidRDefault="00AF6711" w:rsidP="00AF6711">
      <w:pPr>
        <w:rPr>
          <w:rFonts w:ascii="Times New Roman" w:hAnsi="Times New Roman" w:cs="Times New Roman"/>
        </w:rPr>
      </w:pPr>
      <w:r w:rsidRPr="008C7D2D">
        <w:rPr>
          <w:rFonts w:ascii="Times New Roman" w:hAnsi="Times New Roman" w:cs="Times New Roman"/>
          <w:b/>
          <w:bCs/>
        </w:rPr>
        <w:t>[insert full name]</w:t>
      </w:r>
      <w:r w:rsidRPr="008C7D2D">
        <w:rPr>
          <w:rFonts w:ascii="Times New Roman" w:hAnsi="Times New Roman" w:cs="Times New Roman"/>
        </w:rPr>
        <w:t> </w:t>
      </w:r>
    </w:p>
    <w:p w14:paraId="1375EB1B" w14:textId="77777777" w:rsidR="00AF6711" w:rsidRPr="008C7D2D" w:rsidRDefault="00AF6711" w:rsidP="00AF6711">
      <w:pPr>
        <w:rPr>
          <w:rFonts w:ascii="Times New Roman" w:hAnsi="Times New Roman" w:cs="Times New Roman"/>
        </w:rPr>
      </w:pPr>
      <w:r w:rsidRPr="008C7D2D">
        <w:rPr>
          <w:rFonts w:ascii="Times New Roman" w:hAnsi="Times New Roman" w:cs="Times New Roman"/>
          <w:b/>
          <w:bCs/>
        </w:rPr>
        <w:t>[insert job title]</w:t>
      </w:r>
      <w:r w:rsidRPr="008C7D2D">
        <w:rPr>
          <w:rFonts w:ascii="Times New Roman" w:hAnsi="Times New Roman" w:cs="Times New Roman"/>
        </w:rPr>
        <w:t> </w:t>
      </w:r>
    </w:p>
    <w:p w14:paraId="2DC91D16" w14:textId="77777777" w:rsidR="00AF6711" w:rsidRPr="008C7D2D" w:rsidRDefault="00AF6711" w:rsidP="00AF6711">
      <w:pPr>
        <w:rPr>
          <w:rFonts w:ascii="Times New Roman" w:hAnsi="Times New Roman" w:cs="Times New Roman"/>
        </w:rPr>
      </w:pPr>
      <w:r w:rsidRPr="008C7D2D">
        <w:rPr>
          <w:rFonts w:ascii="Times New Roman" w:hAnsi="Times New Roman" w:cs="Times New Roman"/>
          <w:b/>
          <w:bCs/>
        </w:rPr>
        <w:t>[insert HBA name]</w:t>
      </w:r>
      <w:r w:rsidRPr="008C7D2D">
        <w:rPr>
          <w:rFonts w:ascii="Times New Roman" w:hAnsi="Times New Roman" w:cs="Times New Roman"/>
        </w:rPr>
        <w:t> </w:t>
      </w:r>
    </w:p>
    <w:p w14:paraId="700F0CFB" w14:textId="77777777" w:rsidR="00861829" w:rsidRDefault="00861829"/>
    <w:sectPr w:rsidR="0086182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D497DC" w14:textId="77777777" w:rsidR="00270585" w:rsidRDefault="00270585" w:rsidP="00AF6711">
      <w:pPr>
        <w:spacing w:after="0" w:line="240" w:lineRule="auto"/>
      </w:pPr>
      <w:r>
        <w:separator/>
      </w:r>
    </w:p>
  </w:endnote>
  <w:endnote w:type="continuationSeparator" w:id="0">
    <w:p w14:paraId="234605FF" w14:textId="77777777" w:rsidR="00270585" w:rsidRDefault="00270585" w:rsidP="00AF67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AC59E8" w14:textId="77777777" w:rsidR="00270585" w:rsidRDefault="00270585" w:rsidP="00AF6711">
      <w:pPr>
        <w:spacing w:after="0" w:line="240" w:lineRule="auto"/>
      </w:pPr>
      <w:r>
        <w:separator/>
      </w:r>
    </w:p>
  </w:footnote>
  <w:footnote w:type="continuationSeparator" w:id="0">
    <w:p w14:paraId="1C925D8C" w14:textId="77777777" w:rsidR="00270585" w:rsidRDefault="00270585" w:rsidP="00AF6711">
      <w:pPr>
        <w:spacing w:after="0" w:line="240" w:lineRule="auto"/>
      </w:pPr>
      <w:r>
        <w:continuationSeparator/>
      </w:r>
    </w:p>
  </w:footnote>
  <w:footnote w:id="1">
    <w:p w14:paraId="176DAA43" w14:textId="77777777" w:rsidR="00AF6711" w:rsidRDefault="00AF6711" w:rsidP="00AF6711">
      <w:pPr>
        <w:pStyle w:val="FootnoteText"/>
      </w:pPr>
      <w:r>
        <w:rPr>
          <w:rStyle w:val="FootnoteReference"/>
        </w:rPr>
        <w:footnoteRef/>
      </w:r>
      <w:r>
        <w:t xml:space="preserve">  </w:t>
      </w:r>
      <w:hyperlink r:id="rId1" w:history="1">
        <w:r w:rsidRPr="001168A2">
          <w:rPr>
            <w:rStyle w:val="Hyperlink"/>
          </w:rPr>
          <w:t>2026 Housing Outlook: Ongoing Challenges, Cautious Optimism and Incremental Gains | NAHB</w:t>
        </w:r>
      </w:hyperlink>
      <w:r>
        <w:t xml:space="preserve"> </w:t>
      </w:r>
    </w:p>
  </w:footnote>
  <w:footnote w:id="2">
    <w:p w14:paraId="0829D7C9" w14:textId="797F540F" w:rsidR="00AF6711" w:rsidRDefault="00AF6711" w:rsidP="00AF6711">
      <w:pPr>
        <w:pStyle w:val="FootnoteText"/>
      </w:pPr>
      <w:r>
        <w:rPr>
          <w:rStyle w:val="FootnoteReference"/>
        </w:rPr>
        <w:footnoteRef/>
      </w:r>
      <w:r>
        <w:t xml:space="preserve"> </w:t>
      </w:r>
      <w:hyperlink r:id="rId2" w:history="1">
        <w:r w:rsidRPr="00C50C0E">
          <w:rPr>
            <w:rStyle w:val="Hyperlink"/>
          </w:rPr>
          <w:t xml:space="preserve">Will Regulating Large Institutional Investors Actually Make Housing More Affordable? </w:t>
        </w:r>
        <w:r w:rsidRPr="00C50C0E">
          <w:rPr>
            <w:rStyle w:val="Hyperlink"/>
          </w:rPr>
          <w:t>| Urban Institute</w:t>
        </w:r>
      </w:hyperlink>
      <w:r>
        <w:t xml:space="preserve"> </w:t>
      </w:r>
    </w:p>
  </w:footnote>
  <w:footnote w:id="3">
    <w:p w14:paraId="445EDECA" w14:textId="25C6802A" w:rsidR="00AF6711" w:rsidRDefault="00AF6711">
      <w:pPr>
        <w:pStyle w:val="FootnoteText"/>
      </w:pPr>
      <w:r>
        <w:rPr>
          <w:rStyle w:val="FootnoteReference"/>
        </w:rPr>
        <w:footnoteRef/>
      </w:r>
      <w:r>
        <w:t xml:space="preserve"> </w:t>
      </w:r>
      <w:hyperlink r:id="rId3" w:history="1">
        <w:r w:rsidRPr="003F23A9">
          <w:rPr>
            <w:rStyle w:val="Hyperlink"/>
          </w:rPr>
          <w:t>https://eyeonhousing.org/2026/05/single-family-built-to-rent-slowed-at-start-of-2026/</w:t>
        </w:r>
      </w:hyperlink>
      <w: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6711"/>
    <w:rsid w:val="0005791D"/>
    <w:rsid w:val="00270585"/>
    <w:rsid w:val="002E72F9"/>
    <w:rsid w:val="00537CB0"/>
    <w:rsid w:val="00861829"/>
    <w:rsid w:val="00AF67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0D0867D"/>
  <w15:chartTrackingRefBased/>
  <w15:docId w15:val="{216F0DE0-0CE2-4A13-8117-122724E25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6711"/>
  </w:style>
  <w:style w:type="paragraph" w:styleId="Heading1">
    <w:name w:val="heading 1"/>
    <w:basedOn w:val="Normal"/>
    <w:next w:val="Normal"/>
    <w:link w:val="Heading1Char"/>
    <w:uiPriority w:val="9"/>
    <w:qFormat/>
    <w:rsid w:val="00AF671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F671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F671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F671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F671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F671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F671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F671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F671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671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F671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F671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F671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F671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F671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671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671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6711"/>
    <w:rPr>
      <w:rFonts w:eastAsiaTheme="majorEastAsia" w:cstheme="majorBidi"/>
      <w:color w:val="272727" w:themeColor="text1" w:themeTint="D8"/>
    </w:rPr>
  </w:style>
  <w:style w:type="paragraph" w:styleId="Title">
    <w:name w:val="Title"/>
    <w:basedOn w:val="Normal"/>
    <w:next w:val="Normal"/>
    <w:link w:val="TitleChar"/>
    <w:uiPriority w:val="10"/>
    <w:qFormat/>
    <w:rsid w:val="00AF67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671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671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F67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6711"/>
    <w:pPr>
      <w:spacing w:before="160"/>
      <w:jc w:val="center"/>
    </w:pPr>
    <w:rPr>
      <w:i/>
      <w:iCs/>
      <w:color w:val="404040" w:themeColor="text1" w:themeTint="BF"/>
    </w:rPr>
  </w:style>
  <w:style w:type="character" w:customStyle="1" w:styleId="QuoteChar">
    <w:name w:val="Quote Char"/>
    <w:basedOn w:val="DefaultParagraphFont"/>
    <w:link w:val="Quote"/>
    <w:uiPriority w:val="29"/>
    <w:rsid w:val="00AF6711"/>
    <w:rPr>
      <w:i/>
      <w:iCs/>
      <w:color w:val="404040" w:themeColor="text1" w:themeTint="BF"/>
    </w:rPr>
  </w:style>
  <w:style w:type="paragraph" w:styleId="ListParagraph">
    <w:name w:val="List Paragraph"/>
    <w:basedOn w:val="Normal"/>
    <w:uiPriority w:val="34"/>
    <w:qFormat/>
    <w:rsid w:val="00AF6711"/>
    <w:pPr>
      <w:ind w:left="720"/>
      <w:contextualSpacing/>
    </w:pPr>
  </w:style>
  <w:style w:type="character" w:styleId="IntenseEmphasis">
    <w:name w:val="Intense Emphasis"/>
    <w:basedOn w:val="DefaultParagraphFont"/>
    <w:uiPriority w:val="21"/>
    <w:qFormat/>
    <w:rsid w:val="00AF6711"/>
    <w:rPr>
      <w:i/>
      <w:iCs/>
      <w:color w:val="0F4761" w:themeColor="accent1" w:themeShade="BF"/>
    </w:rPr>
  </w:style>
  <w:style w:type="paragraph" w:styleId="IntenseQuote">
    <w:name w:val="Intense Quote"/>
    <w:basedOn w:val="Normal"/>
    <w:next w:val="Normal"/>
    <w:link w:val="IntenseQuoteChar"/>
    <w:uiPriority w:val="30"/>
    <w:qFormat/>
    <w:rsid w:val="00AF67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F6711"/>
    <w:rPr>
      <w:i/>
      <w:iCs/>
      <w:color w:val="0F4761" w:themeColor="accent1" w:themeShade="BF"/>
    </w:rPr>
  </w:style>
  <w:style w:type="character" w:styleId="IntenseReference">
    <w:name w:val="Intense Reference"/>
    <w:basedOn w:val="DefaultParagraphFont"/>
    <w:uiPriority w:val="32"/>
    <w:qFormat/>
    <w:rsid w:val="00AF6711"/>
    <w:rPr>
      <w:b/>
      <w:bCs/>
      <w:smallCaps/>
      <w:color w:val="0F4761" w:themeColor="accent1" w:themeShade="BF"/>
      <w:spacing w:val="5"/>
    </w:rPr>
  </w:style>
  <w:style w:type="character" w:styleId="Hyperlink">
    <w:name w:val="Hyperlink"/>
    <w:basedOn w:val="DefaultParagraphFont"/>
    <w:uiPriority w:val="99"/>
    <w:unhideWhenUsed/>
    <w:rsid w:val="00AF6711"/>
    <w:rPr>
      <w:color w:val="467886" w:themeColor="hyperlink"/>
      <w:u w:val="single"/>
    </w:rPr>
  </w:style>
  <w:style w:type="paragraph" w:styleId="FootnoteText">
    <w:name w:val="footnote text"/>
    <w:basedOn w:val="Normal"/>
    <w:link w:val="FootnoteTextChar"/>
    <w:uiPriority w:val="99"/>
    <w:semiHidden/>
    <w:unhideWhenUsed/>
    <w:rsid w:val="00AF671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F6711"/>
    <w:rPr>
      <w:sz w:val="20"/>
      <w:szCs w:val="20"/>
    </w:rPr>
  </w:style>
  <w:style w:type="character" w:styleId="FootnoteReference">
    <w:name w:val="footnote reference"/>
    <w:basedOn w:val="DefaultParagraphFont"/>
    <w:uiPriority w:val="99"/>
    <w:semiHidden/>
    <w:unhideWhenUsed/>
    <w:rsid w:val="00AF6711"/>
    <w:rPr>
      <w:vertAlign w:val="superscript"/>
    </w:rPr>
  </w:style>
  <w:style w:type="character" w:styleId="UnresolvedMention">
    <w:name w:val="Unresolved Mention"/>
    <w:basedOn w:val="DefaultParagraphFont"/>
    <w:uiPriority w:val="99"/>
    <w:semiHidden/>
    <w:unhideWhenUsed/>
    <w:rsid w:val="00AF67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3" Type="http://schemas.openxmlformats.org/officeDocument/2006/relationships/hyperlink" Target="https://eyeonhousing.org/2026/05/single-family-built-to-rent-slowed-at-start-of-2026/" TargetMode="External"/><Relationship Id="rId2" Type="http://schemas.openxmlformats.org/officeDocument/2006/relationships/hyperlink" Target="https://www.urban.org/urban-wire/will-regulating-large-institutional-investors-actually-make-housing-more-affordable" TargetMode="External"/><Relationship Id="rId1" Type="http://schemas.openxmlformats.org/officeDocument/2006/relationships/hyperlink" Target="https://www.nahb.org/news-and-economics/press-releases/2026/02/2026-housing-outlook-ongoing-challenges-cautious-optimism-and-incremental-gai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AB74A1-A1F7-4561-8EF3-A469E2661D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450</Words>
  <Characters>2691</Characters>
  <Application>Microsoft Office Word</Application>
  <DocSecurity>0</DocSecurity>
  <Lines>49</Lines>
  <Paragraphs>17</Paragraphs>
  <ScaleCrop>false</ScaleCrop>
  <Company/>
  <LinksUpToDate>false</LinksUpToDate>
  <CharactersWithSpaces>3124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Briseno</dc:creator>
  <cp:keywords/>
  <dc:description/>
  <cp:lastModifiedBy>Anna Briseno</cp:lastModifiedBy>
  <cp:revision>1</cp:revision>
  <dcterms:created xsi:type="dcterms:W3CDTF">2026-07-29T18:13:00Z</dcterms:created>
  <dcterms:modified xsi:type="dcterms:W3CDTF">2026-07-29T18:18:00Z</dcterms:modified>
</cp:coreProperties>
</file>